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FA" w:rsidRPr="001C5090" w:rsidRDefault="00446100" w:rsidP="00AB43DD">
      <w:pPr>
        <w:jc w:val="center"/>
        <w:rPr>
          <w:sz w:val="28"/>
          <w:szCs w:val="28"/>
        </w:rPr>
      </w:pPr>
      <w:r w:rsidRPr="001C5090">
        <w:rPr>
          <w:b/>
          <w:sz w:val="28"/>
          <w:szCs w:val="28"/>
        </w:rPr>
        <w:t xml:space="preserve">USACE </w:t>
      </w:r>
      <w:r w:rsidR="00AB43DD" w:rsidRPr="001C5090">
        <w:rPr>
          <w:b/>
          <w:sz w:val="28"/>
          <w:szCs w:val="28"/>
        </w:rPr>
        <w:t>Portland District</w:t>
      </w:r>
      <w:r w:rsidRPr="001C5090">
        <w:rPr>
          <w:b/>
          <w:sz w:val="28"/>
          <w:szCs w:val="28"/>
        </w:rPr>
        <w:t xml:space="preserve"> (NWP)</w:t>
      </w:r>
      <w:r w:rsidR="00AB43DD" w:rsidRPr="001C5090">
        <w:rPr>
          <w:b/>
          <w:sz w:val="28"/>
          <w:szCs w:val="28"/>
        </w:rPr>
        <w:t xml:space="preserve"> FFDRWG Update</w:t>
      </w:r>
      <w:r w:rsidRPr="001C5090">
        <w:rPr>
          <w:b/>
          <w:sz w:val="28"/>
          <w:szCs w:val="28"/>
        </w:rPr>
        <w:t xml:space="preserve"> Form</w:t>
      </w:r>
      <w:r w:rsidR="00AB43DD" w:rsidRPr="001C5090">
        <w:rPr>
          <w:sz w:val="28"/>
          <w:szCs w:val="28"/>
        </w:rPr>
        <w:br/>
      </w:r>
      <w:r w:rsidR="00AB43DD" w:rsidRPr="001C5090">
        <w:rPr>
          <w:b/>
          <w:sz w:val="28"/>
          <w:szCs w:val="28"/>
        </w:rPr>
        <w:t>1</w:t>
      </w:r>
      <w:r w:rsidR="00407629" w:rsidRPr="001C5090">
        <w:rPr>
          <w:b/>
          <w:sz w:val="28"/>
          <w:szCs w:val="28"/>
        </w:rPr>
        <w:t>3</w:t>
      </w:r>
      <w:r w:rsidR="00AB43DD" w:rsidRPr="001C5090">
        <w:rPr>
          <w:b/>
          <w:sz w:val="28"/>
          <w:szCs w:val="28"/>
        </w:rPr>
        <w:t xml:space="preserve"> </w:t>
      </w:r>
      <w:r w:rsidR="00407629" w:rsidRPr="001C5090">
        <w:rPr>
          <w:b/>
          <w:sz w:val="28"/>
          <w:szCs w:val="28"/>
        </w:rPr>
        <w:t>August</w:t>
      </w:r>
      <w:r w:rsidR="00AB43DD" w:rsidRPr="001C5090">
        <w:rPr>
          <w:b/>
          <w:sz w:val="28"/>
          <w:szCs w:val="28"/>
        </w:rPr>
        <w:t xml:space="preserve"> 2014</w:t>
      </w:r>
    </w:p>
    <w:p w:rsidR="00AB43DD" w:rsidRPr="00B17064" w:rsidRDefault="00AB43DD" w:rsidP="00AB43DD">
      <w:pPr>
        <w:rPr>
          <w:b/>
          <w:sz w:val="24"/>
          <w:szCs w:val="24"/>
        </w:rPr>
      </w:pPr>
      <w:r w:rsidRPr="00B17064">
        <w:rPr>
          <w:b/>
          <w:sz w:val="24"/>
          <w:szCs w:val="24"/>
        </w:rPr>
        <w:t>PROJECT INFORMATION</w:t>
      </w:r>
    </w:p>
    <w:tbl>
      <w:tblPr>
        <w:tblStyle w:val="TableGrid"/>
        <w:tblW w:w="0" w:type="auto"/>
        <w:tblLook w:val="04A0"/>
      </w:tblPr>
      <w:tblGrid>
        <w:gridCol w:w="2538"/>
        <w:gridCol w:w="7038"/>
      </w:tblGrid>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Project Title</w:t>
            </w:r>
          </w:p>
        </w:tc>
        <w:tc>
          <w:tcPr>
            <w:tcW w:w="7038" w:type="dxa"/>
            <w:vAlign w:val="center"/>
          </w:tcPr>
          <w:p w:rsidR="00AB43DD" w:rsidRPr="00B17064" w:rsidRDefault="00446100" w:rsidP="008D7ED5">
            <w:pPr>
              <w:rPr>
                <w:sz w:val="24"/>
                <w:szCs w:val="24"/>
              </w:rPr>
            </w:pPr>
            <w:r w:rsidRPr="00B17064">
              <w:rPr>
                <w:sz w:val="24"/>
                <w:szCs w:val="24"/>
              </w:rPr>
              <w:t xml:space="preserve">The </w:t>
            </w:r>
            <w:proofErr w:type="spellStart"/>
            <w:r w:rsidRPr="00B17064">
              <w:rPr>
                <w:sz w:val="24"/>
                <w:szCs w:val="24"/>
              </w:rPr>
              <w:t>Dalles</w:t>
            </w:r>
            <w:proofErr w:type="spellEnd"/>
            <w:r w:rsidRPr="00B17064">
              <w:rPr>
                <w:sz w:val="24"/>
                <w:szCs w:val="24"/>
              </w:rPr>
              <w:t xml:space="preserve"> Dam East Fish Ladder AWS Backup System</w:t>
            </w:r>
          </w:p>
        </w:tc>
      </w:tr>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SCT Reference Number</w:t>
            </w:r>
          </w:p>
        </w:tc>
        <w:tc>
          <w:tcPr>
            <w:tcW w:w="7038" w:type="dxa"/>
            <w:vAlign w:val="center"/>
          </w:tcPr>
          <w:p w:rsidR="00AB43DD" w:rsidRPr="00B17064" w:rsidRDefault="00AB43DD" w:rsidP="008D7ED5">
            <w:pPr>
              <w:rPr>
                <w:sz w:val="24"/>
                <w:szCs w:val="24"/>
              </w:rPr>
            </w:pPr>
          </w:p>
        </w:tc>
      </w:tr>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Project Manager (PM)</w:t>
            </w:r>
          </w:p>
        </w:tc>
        <w:tc>
          <w:tcPr>
            <w:tcW w:w="7038" w:type="dxa"/>
            <w:vAlign w:val="center"/>
          </w:tcPr>
          <w:p w:rsidR="00AB43DD" w:rsidRPr="00B17064" w:rsidRDefault="0014611E" w:rsidP="008D7ED5">
            <w:pPr>
              <w:rPr>
                <w:sz w:val="24"/>
                <w:szCs w:val="24"/>
              </w:rPr>
            </w:pPr>
            <w:r w:rsidRPr="00B17064">
              <w:rPr>
                <w:sz w:val="24"/>
                <w:szCs w:val="24"/>
              </w:rPr>
              <w:t>Patrick Duyck</w:t>
            </w:r>
            <w:r w:rsidR="00446100" w:rsidRPr="00B17064">
              <w:rPr>
                <w:sz w:val="24"/>
                <w:szCs w:val="24"/>
              </w:rPr>
              <w:t xml:space="preserve"> (NWP, 503-808-4753)</w:t>
            </w:r>
          </w:p>
        </w:tc>
      </w:tr>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Technical Lead (TL)</w:t>
            </w:r>
          </w:p>
        </w:tc>
        <w:tc>
          <w:tcPr>
            <w:tcW w:w="7038" w:type="dxa"/>
            <w:vAlign w:val="center"/>
          </w:tcPr>
          <w:p w:rsidR="00AB43DD" w:rsidRPr="00B17064" w:rsidRDefault="0014611E" w:rsidP="008D7ED5">
            <w:pPr>
              <w:rPr>
                <w:sz w:val="24"/>
                <w:szCs w:val="24"/>
              </w:rPr>
            </w:pPr>
            <w:r w:rsidRPr="00B17064">
              <w:rPr>
                <w:sz w:val="24"/>
                <w:szCs w:val="24"/>
              </w:rPr>
              <w:t>Mehdi Roshani (NWP 503-808-4988)</w:t>
            </w:r>
          </w:p>
        </w:tc>
      </w:tr>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Biologist</w:t>
            </w:r>
            <w:r w:rsidR="00446100" w:rsidRPr="00B17064">
              <w:rPr>
                <w:sz w:val="24"/>
                <w:szCs w:val="24"/>
              </w:rPr>
              <w:t>/Coordination</w:t>
            </w:r>
          </w:p>
        </w:tc>
        <w:tc>
          <w:tcPr>
            <w:tcW w:w="7038" w:type="dxa"/>
            <w:vAlign w:val="center"/>
          </w:tcPr>
          <w:p w:rsidR="00AB43DD" w:rsidRPr="00B17064" w:rsidRDefault="0014611E" w:rsidP="0014611E">
            <w:pPr>
              <w:rPr>
                <w:sz w:val="24"/>
                <w:szCs w:val="24"/>
              </w:rPr>
            </w:pPr>
            <w:r w:rsidRPr="00B17064">
              <w:rPr>
                <w:sz w:val="24"/>
                <w:szCs w:val="24"/>
              </w:rPr>
              <w:t>Jon Rerecich</w:t>
            </w:r>
            <w:r w:rsidR="00446100" w:rsidRPr="00B17064">
              <w:rPr>
                <w:sz w:val="24"/>
                <w:szCs w:val="24"/>
              </w:rPr>
              <w:t xml:space="preserve"> (</w:t>
            </w:r>
            <w:r w:rsidRPr="00B17064">
              <w:rPr>
                <w:sz w:val="24"/>
                <w:szCs w:val="24"/>
              </w:rPr>
              <w:t>NWP, 503-808-4779</w:t>
            </w:r>
            <w:r w:rsidR="00446100" w:rsidRPr="00B17064">
              <w:rPr>
                <w:sz w:val="24"/>
                <w:szCs w:val="24"/>
              </w:rPr>
              <w:t>)</w:t>
            </w:r>
          </w:p>
        </w:tc>
      </w:tr>
    </w:tbl>
    <w:p w:rsidR="00446100" w:rsidRPr="00B17064" w:rsidRDefault="00AB43DD" w:rsidP="00AB43DD">
      <w:pPr>
        <w:rPr>
          <w:b/>
          <w:sz w:val="24"/>
          <w:szCs w:val="24"/>
        </w:rPr>
      </w:pPr>
      <w:r w:rsidRPr="00B17064">
        <w:rPr>
          <w:sz w:val="24"/>
          <w:szCs w:val="24"/>
        </w:rPr>
        <w:br/>
      </w:r>
      <w:r w:rsidR="00446100" w:rsidRPr="00B17064">
        <w:rPr>
          <w:b/>
          <w:sz w:val="24"/>
          <w:szCs w:val="24"/>
        </w:rPr>
        <w:t>PROJECT DESCRIPTION</w:t>
      </w:r>
    </w:p>
    <w:p w:rsidR="0014611E" w:rsidRPr="00B17064" w:rsidRDefault="0014611E" w:rsidP="0014611E">
      <w:pPr>
        <w:pStyle w:val="BodyText"/>
        <w:rPr>
          <w:rFonts w:asciiTheme="minorHAnsi" w:hAnsiTheme="minorHAnsi" w:cstheme="minorHAnsi"/>
          <w:szCs w:val="24"/>
        </w:rPr>
      </w:pPr>
      <w:r w:rsidRPr="00B17064">
        <w:rPr>
          <w:rFonts w:ascii="Calibri" w:hAnsi="Calibri"/>
          <w:szCs w:val="24"/>
        </w:rPr>
        <w:t xml:space="preserve">There are three main entrances to The </w:t>
      </w:r>
      <w:proofErr w:type="spellStart"/>
      <w:r w:rsidRPr="00B17064">
        <w:rPr>
          <w:rFonts w:ascii="Calibri" w:hAnsi="Calibri"/>
          <w:szCs w:val="24"/>
        </w:rPr>
        <w:t>Dalles</w:t>
      </w:r>
      <w:proofErr w:type="spellEnd"/>
      <w:r w:rsidRPr="00B17064">
        <w:rPr>
          <w:rFonts w:ascii="Calibri" w:hAnsi="Calibri"/>
          <w:szCs w:val="24"/>
        </w:rPr>
        <w:t xml:space="preserve">, East Fish Ladder (EFL) that provides passage through The </w:t>
      </w:r>
      <w:proofErr w:type="spellStart"/>
      <w:r w:rsidRPr="00B17064">
        <w:rPr>
          <w:rFonts w:ascii="Calibri" w:hAnsi="Calibri"/>
          <w:szCs w:val="24"/>
        </w:rPr>
        <w:t>Dalles</w:t>
      </w:r>
      <w:proofErr w:type="spellEnd"/>
      <w:r w:rsidRPr="00B17064">
        <w:rPr>
          <w:rFonts w:ascii="Calibri" w:hAnsi="Calibri"/>
          <w:szCs w:val="24"/>
        </w:rPr>
        <w:t xml:space="preserve"> Dam for returning adult </w:t>
      </w:r>
      <w:proofErr w:type="spellStart"/>
      <w:r w:rsidRPr="00B17064">
        <w:rPr>
          <w:rFonts w:ascii="Calibri" w:hAnsi="Calibri"/>
          <w:szCs w:val="24"/>
        </w:rPr>
        <w:t>anadromous</w:t>
      </w:r>
      <w:proofErr w:type="spellEnd"/>
      <w:r w:rsidRPr="00B17064">
        <w:rPr>
          <w:rFonts w:ascii="Calibri" w:hAnsi="Calibri"/>
          <w:szCs w:val="24"/>
        </w:rPr>
        <w:t xml:space="preserve"> fish: the West Fish Ladder entrance, the South Fish Ladder entrance, and the East Fish Ladder entrance.   Approximately 80-90% of the returning adult salmon passing The </w:t>
      </w:r>
      <w:proofErr w:type="spellStart"/>
      <w:r w:rsidRPr="00B17064">
        <w:rPr>
          <w:rFonts w:ascii="Calibri" w:hAnsi="Calibri"/>
          <w:szCs w:val="24"/>
        </w:rPr>
        <w:t>Dalles</w:t>
      </w:r>
      <w:proofErr w:type="spellEnd"/>
      <w:r w:rsidRPr="00B17064">
        <w:rPr>
          <w:rFonts w:ascii="Calibri" w:hAnsi="Calibri"/>
          <w:szCs w:val="24"/>
        </w:rPr>
        <w:t xml:space="preserve"> Dam use the East Fish Ladder on their way back to parts of the Columbia Watershed.  Auxiliary water for the East Fish Ladder (EFL) is critical to the overall success of adult fish passage by providing attraction flow.  Without the auxiliary water the ladder will fail to attract and </w:t>
      </w:r>
      <w:r w:rsidR="00407629" w:rsidRPr="00B17064">
        <w:rPr>
          <w:rFonts w:ascii="Calibri" w:hAnsi="Calibri"/>
          <w:szCs w:val="24"/>
        </w:rPr>
        <w:t xml:space="preserve">effectively </w:t>
      </w:r>
      <w:r w:rsidRPr="00B17064">
        <w:rPr>
          <w:rFonts w:ascii="Calibri" w:hAnsi="Calibri"/>
          <w:szCs w:val="24"/>
        </w:rPr>
        <w:t xml:space="preserve">pass adult fish past the dam.  The auxiliary water supply (AWS) is currently fed by two fish unit turbines with no other back up source of water.  A recent DDR was complete that Identified a design </w:t>
      </w:r>
      <w:r w:rsidR="00407629" w:rsidRPr="00B17064">
        <w:rPr>
          <w:rFonts w:ascii="Calibri" w:hAnsi="Calibri"/>
          <w:szCs w:val="24"/>
        </w:rPr>
        <w:t xml:space="preserve">for an emergency backup water supply system </w:t>
      </w:r>
      <w:r w:rsidRPr="00B17064">
        <w:rPr>
          <w:rFonts w:ascii="Calibri" w:hAnsi="Calibri"/>
          <w:szCs w:val="24"/>
        </w:rPr>
        <w:t xml:space="preserve">that would provide minimum 1400cfs through a gravity feed Pipe system, should the fish units go down.  </w:t>
      </w:r>
      <w:r w:rsidRPr="00B17064">
        <w:rPr>
          <w:rFonts w:asciiTheme="minorHAnsi" w:hAnsiTheme="minorHAnsi" w:cstheme="minorHAnsi"/>
          <w:szCs w:val="24"/>
        </w:rPr>
        <w:t xml:space="preserve">Based on the engineering analysis for the DDR, the backup system will consist of: upstream trash rack, upstream steel closure gate, a single 10-foot-diameter steel conduit bored through the concrete monolith, Downstream butterfly valve, buried conduit under downstream parking lot, steel outlet works discharging into existing AWS chamber. </w:t>
      </w:r>
    </w:p>
    <w:p w:rsidR="00446100" w:rsidRPr="00B17064" w:rsidRDefault="0014611E" w:rsidP="0014611E">
      <w:pPr>
        <w:pStyle w:val="Default"/>
        <w:rPr>
          <w:rFonts w:ascii="Calibri" w:hAnsi="Calibri"/>
        </w:rPr>
      </w:pPr>
      <w:r w:rsidRPr="00B17064">
        <w:rPr>
          <w:rFonts w:ascii="Calibri" w:hAnsi="Calibri"/>
        </w:rPr>
        <w:t>Currently the Portland District team is working on P&amp;S for the system developed in the DDR.  We are approximately 30% complete, with the ultimate goal of having a contract awarded by September 2015.</w:t>
      </w:r>
    </w:p>
    <w:p w:rsidR="008F5322" w:rsidRPr="00B17064" w:rsidRDefault="008F5322" w:rsidP="0014611E">
      <w:pPr>
        <w:pStyle w:val="Default"/>
        <w:rPr>
          <w:rFonts w:ascii="Calibri" w:hAnsi="Calibri"/>
        </w:rPr>
      </w:pPr>
    </w:p>
    <w:p w:rsidR="00AB43DD" w:rsidRPr="00B17064" w:rsidRDefault="00E151D4" w:rsidP="00AB43DD">
      <w:pPr>
        <w:rPr>
          <w:b/>
          <w:sz w:val="24"/>
          <w:szCs w:val="24"/>
        </w:rPr>
      </w:pPr>
      <w:r w:rsidRPr="00B17064">
        <w:rPr>
          <w:b/>
          <w:sz w:val="24"/>
          <w:szCs w:val="24"/>
        </w:rPr>
        <w:t xml:space="preserve">CURRENT </w:t>
      </w:r>
      <w:r w:rsidR="00AB43DD" w:rsidRPr="00B17064">
        <w:rPr>
          <w:b/>
          <w:sz w:val="24"/>
          <w:szCs w:val="24"/>
        </w:rPr>
        <w:t>SCHEDULE</w:t>
      </w:r>
    </w:p>
    <w:p w:rsidR="0014611E" w:rsidRPr="00B17064" w:rsidRDefault="0014611E" w:rsidP="0014611E">
      <w:pPr>
        <w:pStyle w:val="Default"/>
        <w:ind w:firstLine="720"/>
        <w:rPr>
          <w:rFonts w:ascii="Calibri" w:hAnsi="Calibri"/>
        </w:rPr>
      </w:pPr>
      <w:r w:rsidRPr="00B17064">
        <w:rPr>
          <w:rFonts w:ascii="Calibri" w:hAnsi="Calibri"/>
        </w:rPr>
        <w:t xml:space="preserve">60% </w:t>
      </w:r>
      <w:r w:rsidR="00407629" w:rsidRPr="00B17064">
        <w:rPr>
          <w:rFonts w:ascii="Calibri" w:hAnsi="Calibri"/>
        </w:rPr>
        <w:t xml:space="preserve">P&amp;S </w:t>
      </w:r>
      <w:r w:rsidRPr="00B17064">
        <w:rPr>
          <w:rFonts w:ascii="Calibri" w:hAnsi="Calibri"/>
        </w:rPr>
        <w:t>DQC – Oct</w:t>
      </w:r>
      <w:proofErr w:type="gramStart"/>
      <w:r w:rsidRPr="00B17064">
        <w:rPr>
          <w:rFonts w:ascii="Calibri" w:hAnsi="Calibri"/>
        </w:rPr>
        <w:t>.</w:t>
      </w:r>
      <w:r w:rsidR="00407629" w:rsidRPr="00B17064">
        <w:rPr>
          <w:rFonts w:ascii="Calibri" w:hAnsi="Calibri"/>
        </w:rPr>
        <w:t>/</w:t>
      </w:r>
      <w:proofErr w:type="gramEnd"/>
      <w:r w:rsidR="00407629" w:rsidRPr="00B17064">
        <w:rPr>
          <w:rFonts w:ascii="Calibri" w:hAnsi="Calibri"/>
        </w:rPr>
        <w:t xml:space="preserve">Nov. </w:t>
      </w:r>
      <w:r w:rsidRPr="00B17064">
        <w:rPr>
          <w:rFonts w:ascii="Calibri" w:hAnsi="Calibri"/>
        </w:rPr>
        <w:t xml:space="preserve"> 2014</w:t>
      </w:r>
    </w:p>
    <w:p w:rsidR="0014611E" w:rsidRPr="00B17064" w:rsidRDefault="0014611E" w:rsidP="0014611E">
      <w:pPr>
        <w:pStyle w:val="Default"/>
        <w:rPr>
          <w:rFonts w:ascii="Calibri" w:hAnsi="Calibri"/>
        </w:rPr>
      </w:pPr>
      <w:r w:rsidRPr="00B17064">
        <w:rPr>
          <w:rFonts w:ascii="Calibri" w:hAnsi="Calibri"/>
        </w:rPr>
        <w:tab/>
        <w:t xml:space="preserve">60% </w:t>
      </w:r>
      <w:r w:rsidR="00407629" w:rsidRPr="00B17064">
        <w:rPr>
          <w:rFonts w:ascii="Calibri" w:hAnsi="Calibri"/>
        </w:rPr>
        <w:t xml:space="preserve">P&amp;S </w:t>
      </w:r>
      <w:r w:rsidRPr="00B17064">
        <w:rPr>
          <w:rFonts w:ascii="Calibri" w:hAnsi="Calibri"/>
        </w:rPr>
        <w:t xml:space="preserve">ATR </w:t>
      </w:r>
      <w:r w:rsidR="00C62F28" w:rsidRPr="00B17064">
        <w:rPr>
          <w:rFonts w:ascii="Calibri" w:hAnsi="Calibri"/>
        </w:rPr>
        <w:t xml:space="preserve">&amp; FFDRWG </w:t>
      </w:r>
      <w:r w:rsidRPr="00B17064">
        <w:rPr>
          <w:rFonts w:ascii="Calibri" w:hAnsi="Calibri"/>
        </w:rPr>
        <w:t>– Nov. 2014</w:t>
      </w:r>
      <w:r w:rsidR="00C62F28" w:rsidRPr="00B17064">
        <w:rPr>
          <w:rFonts w:ascii="Calibri" w:hAnsi="Calibri"/>
        </w:rPr>
        <w:tab/>
      </w:r>
    </w:p>
    <w:p w:rsidR="00C62F28" w:rsidRPr="00B17064" w:rsidRDefault="00C62F28" w:rsidP="0014611E">
      <w:pPr>
        <w:pStyle w:val="Default"/>
        <w:rPr>
          <w:rFonts w:ascii="Calibri" w:hAnsi="Calibri"/>
        </w:rPr>
      </w:pPr>
    </w:p>
    <w:p w:rsidR="0014611E" w:rsidRPr="00B17064" w:rsidRDefault="0014611E" w:rsidP="0014611E">
      <w:pPr>
        <w:pStyle w:val="Default"/>
        <w:rPr>
          <w:rFonts w:ascii="Calibri" w:hAnsi="Calibri"/>
        </w:rPr>
      </w:pPr>
      <w:r w:rsidRPr="00B17064">
        <w:rPr>
          <w:rFonts w:ascii="Calibri" w:hAnsi="Calibri"/>
        </w:rPr>
        <w:tab/>
        <w:t xml:space="preserve">90% </w:t>
      </w:r>
      <w:r w:rsidR="00407629" w:rsidRPr="00B17064">
        <w:rPr>
          <w:rFonts w:ascii="Calibri" w:hAnsi="Calibri"/>
        </w:rPr>
        <w:t xml:space="preserve">P&amp;S </w:t>
      </w:r>
      <w:r w:rsidRPr="00B17064">
        <w:rPr>
          <w:rFonts w:ascii="Calibri" w:hAnsi="Calibri"/>
        </w:rPr>
        <w:t>DQC – Jan. 2014</w:t>
      </w:r>
    </w:p>
    <w:p w:rsidR="0014611E" w:rsidRPr="00B17064" w:rsidRDefault="0014611E" w:rsidP="0014611E">
      <w:pPr>
        <w:pStyle w:val="Default"/>
        <w:rPr>
          <w:rFonts w:ascii="Calibri" w:hAnsi="Calibri"/>
        </w:rPr>
      </w:pPr>
      <w:r w:rsidRPr="00B17064">
        <w:rPr>
          <w:rFonts w:ascii="Calibri" w:hAnsi="Calibri"/>
        </w:rPr>
        <w:tab/>
        <w:t xml:space="preserve">90% </w:t>
      </w:r>
      <w:r w:rsidR="00407629" w:rsidRPr="00B17064">
        <w:rPr>
          <w:rFonts w:ascii="Calibri" w:hAnsi="Calibri"/>
        </w:rPr>
        <w:t xml:space="preserve">P&amp;S </w:t>
      </w:r>
      <w:r w:rsidRPr="00B17064">
        <w:rPr>
          <w:rFonts w:ascii="Calibri" w:hAnsi="Calibri"/>
        </w:rPr>
        <w:t xml:space="preserve">ATR </w:t>
      </w:r>
      <w:r w:rsidR="00C62F28" w:rsidRPr="00B17064">
        <w:rPr>
          <w:rFonts w:ascii="Calibri" w:hAnsi="Calibri"/>
        </w:rPr>
        <w:t xml:space="preserve">&amp; FFDRWG </w:t>
      </w:r>
      <w:r w:rsidRPr="00B17064">
        <w:rPr>
          <w:rFonts w:ascii="Calibri" w:hAnsi="Calibri"/>
        </w:rPr>
        <w:t>– Jan. 2014</w:t>
      </w:r>
    </w:p>
    <w:p w:rsidR="00C62F28" w:rsidRPr="00B17064" w:rsidRDefault="00C62F28" w:rsidP="0014611E">
      <w:pPr>
        <w:pStyle w:val="Default"/>
        <w:rPr>
          <w:rFonts w:ascii="Calibri" w:hAnsi="Calibri"/>
        </w:rPr>
      </w:pPr>
    </w:p>
    <w:p w:rsidR="0014611E" w:rsidRPr="00B17064" w:rsidRDefault="0014611E" w:rsidP="0014611E">
      <w:pPr>
        <w:pStyle w:val="Default"/>
        <w:rPr>
          <w:rFonts w:ascii="Calibri" w:hAnsi="Calibri"/>
        </w:rPr>
      </w:pPr>
      <w:r w:rsidRPr="00B17064">
        <w:rPr>
          <w:rFonts w:ascii="Calibri" w:hAnsi="Calibri"/>
        </w:rPr>
        <w:tab/>
        <w:t xml:space="preserve">100% </w:t>
      </w:r>
      <w:r w:rsidR="00407629" w:rsidRPr="00B17064">
        <w:rPr>
          <w:rFonts w:ascii="Calibri" w:hAnsi="Calibri"/>
        </w:rPr>
        <w:t xml:space="preserve">P&amp;S </w:t>
      </w:r>
      <w:r w:rsidRPr="00B17064">
        <w:rPr>
          <w:rFonts w:ascii="Calibri" w:hAnsi="Calibri"/>
        </w:rPr>
        <w:t>ATR/DQC March 2014</w:t>
      </w:r>
    </w:p>
    <w:p w:rsidR="008F5322" w:rsidRPr="00B17064" w:rsidRDefault="00407629" w:rsidP="00C62F28">
      <w:pPr>
        <w:pStyle w:val="Default"/>
        <w:rPr>
          <w:rFonts w:ascii="Calibri" w:hAnsi="Calibri"/>
        </w:rPr>
      </w:pPr>
      <w:r w:rsidRPr="00B17064">
        <w:rPr>
          <w:rFonts w:ascii="Calibri" w:hAnsi="Calibri"/>
        </w:rPr>
        <w:lastRenderedPageBreak/>
        <w:tab/>
        <w:t>Contract Award no later than, Sep. 2015</w:t>
      </w:r>
    </w:p>
    <w:p w:rsidR="00C62F28" w:rsidRPr="00B17064" w:rsidRDefault="00C62F28" w:rsidP="00AB43DD">
      <w:pPr>
        <w:rPr>
          <w:b/>
          <w:sz w:val="24"/>
          <w:szCs w:val="24"/>
        </w:rPr>
      </w:pPr>
    </w:p>
    <w:p w:rsidR="00AB43DD" w:rsidRPr="00B17064" w:rsidRDefault="00AB43DD" w:rsidP="00AB43DD">
      <w:pPr>
        <w:rPr>
          <w:b/>
          <w:sz w:val="24"/>
          <w:szCs w:val="24"/>
        </w:rPr>
      </w:pPr>
      <w:r w:rsidRPr="00B17064">
        <w:rPr>
          <w:b/>
          <w:sz w:val="24"/>
          <w:szCs w:val="24"/>
        </w:rPr>
        <w:t>PROGRESS AND KEY ISSUES</w:t>
      </w:r>
      <w:r w:rsidR="00446100" w:rsidRPr="00B17064">
        <w:rPr>
          <w:b/>
          <w:sz w:val="24"/>
          <w:szCs w:val="24"/>
        </w:rPr>
        <w:t xml:space="preserve"> (List)</w:t>
      </w:r>
    </w:p>
    <w:p w:rsidR="008F5322" w:rsidRPr="00B17064" w:rsidRDefault="008F5322" w:rsidP="008F5322">
      <w:pPr>
        <w:pStyle w:val="ListParagraph"/>
        <w:numPr>
          <w:ilvl w:val="0"/>
          <w:numId w:val="1"/>
        </w:numPr>
        <w:rPr>
          <w:sz w:val="24"/>
          <w:szCs w:val="24"/>
        </w:rPr>
      </w:pPr>
      <w:r w:rsidRPr="00B17064">
        <w:rPr>
          <w:sz w:val="24"/>
          <w:szCs w:val="24"/>
        </w:rPr>
        <w:t>Air entrainment into existing AWS chamber – Ongoing/design</w:t>
      </w:r>
    </w:p>
    <w:p w:rsidR="008F5322" w:rsidRPr="00B17064" w:rsidRDefault="008F5322" w:rsidP="008F5322">
      <w:pPr>
        <w:pStyle w:val="ListParagraph"/>
        <w:numPr>
          <w:ilvl w:val="0"/>
          <w:numId w:val="1"/>
        </w:numPr>
        <w:rPr>
          <w:sz w:val="24"/>
          <w:szCs w:val="24"/>
        </w:rPr>
      </w:pPr>
      <w:r w:rsidRPr="00B17064">
        <w:rPr>
          <w:sz w:val="24"/>
          <w:szCs w:val="24"/>
        </w:rPr>
        <w:t>Cofferdam – Details ongoing</w:t>
      </w:r>
    </w:p>
    <w:p w:rsidR="008F5322" w:rsidRPr="00B17064" w:rsidRDefault="008F5322" w:rsidP="008F5322">
      <w:pPr>
        <w:pStyle w:val="ListParagraph"/>
        <w:numPr>
          <w:ilvl w:val="0"/>
          <w:numId w:val="1"/>
        </w:numPr>
        <w:rPr>
          <w:sz w:val="24"/>
          <w:szCs w:val="24"/>
        </w:rPr>
      </w:pPr>
      <w:r w:rsidRPr="00B17064">
        <w:rPr>
          <w:sz w:val="24"/>
          <w:szCs w:val="24"/>
        </w:rPr>
        <w:t xml:space="preserve">Construction sequence – will have more once we get past 60% design. </w:t>
      </w:r>
    </w:p>
    <w:p w:rsidR="00AB43DD" w:rsidRPr="00B17064" w:rsidRDefault="00AB43DD" w:rsidP="00AB43DD">
      <w:pPr>
        <w:rPr>
          <w:sz w:val="24"/>
          <w:szCs w:val="24"/>
        </w:rPr>
      </w:pPr>
    </w:p>
    <w:p w:rsidR="00AB43DD" w:rsidRPr="00B17064" w:rsidRDefault="00AB43DD" w:rsidP="00AB43DD">
      <w:pPr>
        <w:rPr>
          <w:b/>
          <w:sz w:val="24"/>
          <w:szCs w:val="24"/>
        </w:rPr>
      </w:pPr>
      <w:r w:rsidRPr="00B17064">
        <w:rPr>
          <w:b/>
          <w:sz w:val="24"/>
          <w:szCs w:val="24"/>
        </w:rPr>
        <w:t>FFDRWG REVIEW NEEDED</w:t>
      </w:r>
      <w:r w:rsidR="00446100" w:rsidRPr="00B17064">
        <w:rPr>
          <w:b/>
          <w:sz w:val="24"/>
          <w:szCs w:val="24"/>
        </w:rPr>
        <w:t xml:space="preserve"> AT MEETING</w:t>
      </w:r>
      <w:r w:rsidRPr="00B17064">
        <w:rPr>
          <w:b/>
          <w:sz w:val="24"/>
          <w:szCs w:val="24"/>
        </w:rPr>
        <w:t>?  (If YES, list discussion topics below)</w:t>
      </w:r>
    </w:p>
    <w:p w:rsidR="00AB43DD" w:rsidRDefault="00697E56" w:rsidP="00AB43DD">
      <w:r>
        <w:rPr>
          <w:sz w:val="24"/>
        </w:rPr>
        <w:t>No review ne</w:t>
      </w:r>
      <w:r w:rsidR="009947DF">
        <w:rPr>
          <w:sz w:val="24"/>
        </w:rPr>
        <w:t>eded at this time.  FFDRWG review and input</w:t>
      </w:r>
      <w:r>
        <w:rPr>
          <w:sz w:val="24"/>
        </w:rPr>
        <w:t xml:space="preserve"> will be requested at the 60% and 90% Plans and Specs phase.</w:t>
      </w:r>
    </w:p>
    <w:p w:rsidR="00AB43DD" w:rsidRDefault="00AB43DD" w:rsidP="00AB43DD"/>
    <w:sectPr w:rsidR="00AB43DD" w:rsidSect="00A52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737CD"/>
    <w:multiLevelType w:val="hybridMultilevel"/>
    <w:tmpl w:val="E2580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B43DD"/>
    <w:rsid w:val="001043CB"/>
    <w:rsid w:val="0014611E"/>
    <w:rsid w:val="001C5090"/>
    <w:rsid w:val="002E1449"/>
    <w:rsid w:val="00407629"/>
    <w:rsid w:val="00432435"/>
    <w:rsid w:val="00446100"/>
    <w:rsid w:val="004D7DAB"/>
    <w:rsid w:val="005942EE"/>
    <w:rsid w:val="00697E56"/>
    <w:rsid w:val="006C65BB"/>
    <w:rsid w:val="006E630B"/>
    <w:rsid w:val="007132D8"/>
    <w:rsid w:val="00727958"/>
    <w:rsid w:val="00895394"/>
    <w:rsid w:val="008A10CF"/>
    <w:rsid w:val="008D7ED5"/>
    <w:rsid w:val="008F5322"/>
    <w:rsid w:val="009947DF"/>
    <w:rsid w:val="00A23EC6"/>
    <w:rsid w:val="00A52E17"/>
    <w:rsid w:val="00AB1EF4"/>
    <w:rsid w:val="00AB2F05"/>
    <w:rsid w:val="00AB43DD"/>
    <w:rsid w:val="00B17064"/>
    <w:rsid w:val="00C62F28"/>
    <w:rsid w:val="00E151D4"/>
    <w:rsid w:val="00E47459"/>
    <w:rsid w:val="00EE38FC"/>
    <w:rsid w:val="00EF78C1"/>
    <w:rsid w:val="00F26B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611E"/>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qFormat/>
    <w:rsid w:val="0014611E"/>
    <w:pPr>
      <w:spacing w:before="240" w:after="24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4611E"/>
    <w:rPr>
      <w:rFonts w:ascii="Arial" w:eastAsia="Times New Roman" w:hAnsi="Arial" w:cs="Times New Roman"/>
      <w:sz w:val="24"/>
      <w:szCs w:val="20"/>
    </w:rPr>
  </w:style>
  <w:style w:type="paragraph" w:styleId="ListParagraph">
    <w:name w:val="List Paragraph"/>
    <w:basedOn w:val="Normal"/>
    <w:uiPriority w:val="34"/>
    <w:qFormat/>
    <w:rsid w:val="008F53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g2odBJGR</cp:lastModifiedBy>
  <cp:revision>2</cp:revision>
  <cp:lastPrinted>2014-01-09T16:07:00Z</cp:lastPrinted>
  <dcterms:created xsi:type="dcterms:W3CDTF">2014-08-12T23:14:00Z</dcterms:created>
  <dcterms:modified xsi:type="dcterms:W3CDTF">2014-08-12T23:14:00Z</dcterms:modified>
</cp:coreProperties>
</file>